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D27C9" w14:textId="77777777" w:rsidR="002D253B" w:rsidRPr="0001322D" w:rsidRDefault="002D253B" w:rsidP="002D253B">
      <w:pPr>
        <w:pStyle w:val="Naslov1"/>
        <w:rPr>
          <w:b/>
          <w:bCs/>
          <w:color w:val="000000" w:themeColor="text1"/>
          <w:lang w:val="hr-HR"/>
        </w:rPr>
      </w:pPr>
      <w:bookmarkStart w:id="0" w:name="_Toc225424065"/>
      <w:r w:rsidRPr="0001322D">
        <w:rPr>
          <w:b/>
          <w:bCs/>
          <w:color w:val="000000" w:themeColor="text1"/>
          <w:lang w:val="hr-HR"/>
        </w:rPr>
        <w:t>Rizici povezani s vrijednosnim papirom</w:t>
      </w:r>
      <w:bookmarkEnd w:id="0"/>
      <w:r w:rsidRPr="0001322D">
        <w:rPr>
          <w:b/>
          <w:bCs/>
          <w:color w:val="000000" w:themeColor="text1"/>
          <w:lang w:val="hr-HR"/>
        </w:rPr>
        <w:t xml:space="preserve"> </w:t>
      </w:r>
    </w:p>
    <w:p w14:paraId="3F6C279B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Obveznice koje su predmet ove ponude i prijave za uvrštenje na uređeno tržište predstavljaju dugoročne prenosive dužničke vrijednosne papire Izdavatelja, izdane na ime, u nematerijaliziranom obliku, u skladu s važećim propisima Republike Hrvatske i pravnom stečevinom Europske unije.</w:t>
      </w:r>
    </w:p>
    <w:p w14:paraId="33383A21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Obveznice su uključene u sustav </w:t>
      </w:r>
      <w:proofErr w:type="spellStart"/>
      <w:r w:rsidRPr="0001322D">
        <w:rPr>
          <w:rFonts w:ascii="Arial" w:hAnsi="Arial" w:cs="Arial"/>
          <w:lang w:val="hr-HR"/>
        </w:rPr>
        <w:t>depozitorija</w:t>
      </w:r>
      <w:proofErr w:type="spellEnd"/>
      <w:r w:rsidRPr="0001322D">
        <w:rPr>
          <w:rFonts w:ascii="Arial" w:hAnsi="Arial" w:cs="Arial"/>
          <w:lang w:val="hr-HR"/>
        </w:rPr>
        <w:t xml:space="preserve">, prijeboja i namire Središnjeg klirinškog depozitarnog društva d.d. (SKDD), te su označene skraćenom oznakom: </w:t>
      </w:r>
      <w:r w:rsidRPr="002D253B">
        <w:rPr>
          <w:rFonts w:ascii="Arial" w:hAnsi="Arial" w:cs="Arial"/>
          <w:lang w:val="hr-HR"/>
        </w:rPr>
        <w:t>BETP-O-29CE, ISIN oznaka (dobiva se od SKDD-a)</w:t>
      </w:r>
      <w:r>
        <w:rPr>
          <w:rFonts w:ascii="Arial" w:hAnsi="Arial" w:cs="Arial"/>
          <w:lang w:val="hr-HR"/>
        </w:rPr>
        <w:t xml:space="preserve"> </w:t>
      </w:r>
    </w:p>
    <w:p w14:paraId="0F1ACF25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Ukupni nominalni iznos izdanja iznosi </w:t>
      </w:r>
      <w:r>
        <w:rPr>
          <w:rFonts w:ascii="Arial" w:hAnsi="Arial" w:cs="Arial"/>
          <w:lang w:val="hr-HR"/>
        </w:rPr>
        <w:t>2.000</w:t>
      </w:r>
      <w:r w:rsidRPr="0001322D">
        <w:rPr>
          <w:rFonts w:ascii="Arial" w:hAnsi="Arial" w:cs="Arial"/>
          <w:lang w:val="hr-HR"/>
        </w:rPr>
        <w:t xml:space="preserve">.000 EUR, a svaka pojedina Obveznica ima nominalnu vrijednost od 1.000 EUR. Izdane obveznice, denominirane u eurima (EUR), nose kuponski prirast s godišnjom kamatnom stopom od </w:t>
      </w:r>
      <w:r>
        <w:rPr>
          <w:rFonts w:ascii="Arial" w:hAnsi="Arial" w:cs="Arial"/>
          <w:lang w:val="hr-HR"/>
        </w:rPr>
        <w:t>8</w:t>
      </w:r>
      <w:r w:rsidRPr="0001322D">
        <w:rPr>
          <w:rFonts w:ascii="Arial" w:hAnsi="Arial" w:cs="Arial"/>
          <w:lang w:val="hr-HR"/>
        </w:rPr>
        <w:t>%, što ih čini stabilnim i isplativim instrumentom ulaganja.</w:t>
      </w:r>
    </w:p>
    <w:p w14:paraId="1289790A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Imatelji Obveznica ostvaruju sljedeća osnovna prava:</w:t>
      </w:r>
    </w:p>
    <w:p w14:paraId="3EF529C2" w14:textId="77777777" w:rsidR="002D253B" w:rsidRPr="0001322D" w:rsidRDefault="002D253B" w:rsidP="002D253B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Pravo na isplatu glavnice u punom nominalnom iznosu po dospijeću Obveznica, u skladu s uvjetima izdanja;</w:t>
      </w:r>
    </w:p>
    <w:p w14:paraId="5E4FC8FF" w14:textId="77777777" w:rsidR="002D253B" w:rsidRPr="0001322D" w:rsidRDefault="002D253B" w:rsidP="002D253B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Pravo na isplatu pripadajuće kamate u skladu s kuponskom stopom i uvjetima izdanja Obveznica.</w:t>
      </w:r>
    </w:p>
    <w:p w14:paraId="35DED074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Obveznice predstavljaju izravne, bezuvjetne i osigurane obveze Izdavatelja, osigurane izdavanjem zadužnica, koje su deponirane kod treće strane radi dodatne vjerodostojnosti i transparentnosti. Obveznice imaju status ravnopravnih (pari </w:t>
      </w:r>
      <w:proofErr w:type="spellStart"/>
      <w:r w:rsidRPr="0001322D">
        <w:rPr>
          <w:rFonts w:ascii="Arial" w:hAnsi="Arial" w:cs="Arial"/>
          <w:lang w:val="hr-HR"/>
        </w:rPr>
        <w:t>passu</w:t>
      </w:r>
      <w:proofErr w:type="spellEnd"/>
      <w:r w:rsidRPr="0001322D">
        <w:rPr>
          <w:rFonts w:ascii="Arial" w:hAnsi="Arial" w:cs="Arial"/>
          <w:lang w:val="hr-HR"/>
        </w:rPr>
        <w:t xml:space="preserve">) u odnosu na sve druge sadašnje i buduće neosigurane i nepodređene obveze Izdavatelja, osim onih koje prema važećim prisilnim propisima uživaju viši isplatni red (npr. tražbine radnika, obveze osigurane </w:t>
      </w:r>
      <w:proofErr w:type="spellStart"/>
      <w:r w:rsidRPr="0001322D">
        <w:rPr>
          <w:rFonts w:ascii="Arial" w:hAnsi="Arial" w:cs="Arial"/>
          <w:lang w:val="hr-HR"/>
        </w:rPr>
        <w:t>razlučnim</w:t>
      </w:r>
      <w:proofErr w:type="spellEnd"/>
      <w:r w:rsidRPr="0001322D">
        <w:rPr>
          <w:rFonts w:ascii="Arial" w:hAnsi="Arial" w:cs="Arial"/>
          <w:lang w:val="hr-HR"/>
        </w:rPr>
        <w:t xml:space="preserve"> pravima i sl.).</w:t>
      </w:r>
    </w:p>
    <w:p w14:paraId="3FEFC89C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U slučaju otvaranja stečajnog postupka nad Izdavateljem, tražbine po osnovi Obveznica imat će pravni položaj podređen tražbinama višeg isplatnog reda, a bit će namirivane sukladno važećim odredbama stečajnog i obveznog prava Republike Hrvatske.</w:t>
      </w:r>
    </w:p>
    <w:p w14:paraId="6CEFD3AC" w14:textId="77777777" w:rsidR="002D253B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lang w:val="hr-HR"/>
        </w:rPr>
        <w:t>Obveznice su slobodno prenosive, bez ograničenja, u skladu s važećim zakonodavnim okvirom i pravilima SKDD-a</w:t>
      </w:r>
      <w:r w:rsidRPr="0001322D">
        <w:rPr>
          <w:rFonts w:ascii="Arial" w:hAnsi="Arial" w:cs="Arial"/>
          <w:b/>
          <w:bCs/>
          <w:lang w:val="hr-HR"/>
        </w:rPr>
        <w:t>.</w:t>
      </w:r>
    </w:p>
    <w:p w14:paraId="44F90BFC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479866DE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Tržišni rizik</w:t>
      </w:r>
    </w:p>
    <w:p w14:paraId="3CAF3661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Tržišni rizik predstavlja rizik od promjene tržišne cijene vrijednosnog papira kao posljedice kretanja ponude i potražnje na sekundarnom tržištu. U konkretnom slučaju, Obveznice Izdavatelja bit će </w:t>
      </w:r>
      <w:r>
        <w:rPr>
          <w:rFonts w:ascii="Arial" w:hAnsi="Arial" w:cs="Arial"/>
          <w:lang w:val="hr-HR"/>
        </w:rPr>
        <w:t>primljene u</w:t>
      </w:r>
      <w:r w:rsidRPr="0001322D">
        <w:rPr>
          <w:rFonts w:ascii="Arial" w:hAnsi="Arial" w:cs="Arial"/>
          <w:lang w:val="hr-HR"/>
        </w:rPr>
        <w:t xml:space="preserve"> Progress tržište Zagrebačke burze, gdje će njihova cijena biti formirana slobodno, prema načelima tržišnog mehanizma.</w:t>
      </w:r>
    </w:p>
    <w:p w14:paraId="28C5F803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lastRenderedPageBreak/>
        <w:t>Iako je nominalna vrijednost svake obveznice unaprijed određena, njezina tržišna cijena može odstupati od te vrijednosti tijekom razdoblja trgovanja. Cijena može biti niža ili viša, ovisno o brojnim čimbenicima, uključujući:</w:t>
      </w:r>
    </w:p>
    <w:p w14:paraId="4DC85D96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percepciju tržišta o rizicima vezanim uz Izdavatelja,</w:t>
      </w:r>
    </w:p>
    <w:p w14:paraId="1ABB1CCF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makroekonomske okolnosti,</w:t>
      </w:r>
    </w:p>
    <w:p w14:paraId="174CF875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kretanja kamatnih stopa,</w:t>
      </w:r>
    </w:p>
    <w:p w14:paraId="7EE47060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razinu likvidnosti Obveznica,</w:t>
      </w:r>
    </w:p>
    <w:p w14:paraId="1CB804D8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razvoj samog istraživačkog projekta i </w:t>
      </w:r>
    </w:p>
    <w:p w14:paraId="5A9E9095" w14:textId="77777777" w:rsidR="002D253B" w:rsidRPr="0001322D" w:rsidRDefault="002D253B" w:rsidP="002D253B">
      <w:pPr>
        <w:pStyle w:val="Odlomakpopisa"/>
        <w:numPr>
          <w:ilvl w:val="0"/>
          <w:numId w:val="2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vjerodostojnost plana konverzije.</w:t>
      </w:r>
    </w:p>
    <w:p w14:paraId="101D943A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Stoga postoji mogućnost da ulagatelji, u slučaju ranije prodaje Obveznica na tržištu, ostvare manji povrat od uloženog iznosa, odnosno da trže po cijeni znatno nižoj od nominalne.</w:t>
      </w:r>
    </w:p>
    <w:p w14:paraId="59CC1E5B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S obzirom na razvojnu fazu projekta, specifičnost tržišta i ograničenu tržišnu likvidnost, Izdavatelj procjenjuje tržišni rizik kao visok.</w:t>
      </w:r>
    </w:p>
    <w:p w14:paraId="375EABB1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06B56620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Rizik opoziva Obveznica</w:t>
      </w:r>
    </w:p>
    <w:p w14:paraId="781B7DAA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lang w:val="hr-HR"/>
        </w:rPr>
        <w:t>U skladu s uvjetima izdanja, Izdavatelj zadržava pravo opoziva (prijevremenog otkupa) Obveznica u točno određenim okolnostima, definiranima u dokumentaciji o izdanju.</w:t>
      </w:r>
    </w:p>
    <w:p w14:paraId="51B0CAC2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Jedan od ključnih mehanizama opoziva aktivira se u slučaju prodaje prava na medicinski proizvod koji je predmet istraživanja Izdavatelja. U takvom slučaju, sve izdane Obveznice bit će automatski opozvane, pri čemu će ulagatelji biti namireni sukladno uvjetima otkupa definiranima u dokumentaciji izdanja.</w:t>
      </w:r>
    </w:p>
    <w:p w14:paraId="065F52D1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Ovaj mehanizam uvodi dodatnu komponentu neizvjesnosti za ulagatelje, osobito one koji računaju na ostvarenje prava iz Obveznica putem konverzije u vlasničke udjele, jer bi realizacija prodaje mogla prethodno okončati njihovu izloženost.</w:t>
      </w:r>
    </w:p>
    <w:p w14:paraId="11F8C357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Izdavatelj će ulagatelje pravovremeno informirati o svakoj relevantnoj promjeni koja bi mogla dovesti do aktivacije prava na opoziv</w:t>
      </w:r>
      <w:r>
        <w:rPr>
          <w:rFonts w:ascii="Arial" w:hAnsi="Arial" w:cs="Arial"/>
          <w:lang w:val="hr-HR"/>
        </w:rPr>
        <w:t>.</w:t>
      </w:r>
    </w:p>
    <w:p w14:paraId="43055BD2" w14:textId="77777777" w:rsidR="00E81208" w:rsidRDefault="00E81208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</w:p>
    <w:p w14:paraId="0F6AA8EA" w14:textId="77777777" w:rsidR="002D253B" w:rsidRPr="00DC15B6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Rizik povezan s fiksnom kamatnom stopom</w:t>
      </w:r>
    </w:p>
    <w:p w14:paraId="09DED75A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Ulagatelj u obveznicu s fiksnom kamatnom stopom izložen je riziku promjene tržišnih kamatnih stopa, odnosno kamatnom riziku. Povećanje tržišne kamatne stope uzrokuje pad tržišne cijene obveznice s fiksnom kamatom, budući da novi instrumenti nude atraktivniji prinos. Suprotno, pad tržišne kamatne stope rezultira porastom cijene takve obveznice, jer njezin fiksni prinos postaje konkurentniji u odnosu na novo isplaćene instrumente.  </w:t>
      </w:r>
    </w:p>
    <w:p w14:paraId="44F84FF7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lastRenderedPageBreak/>
        <w:t xml:space="preserve">Izdavatelj izdaje obveznice u svrhu financiranja specifičnog razvojnog projekta. Tržišna vrijednost tih obveznica značajno ovisi o uspješnosti realizacije samog projekta, čime se naglašava važnost kreditnog i projektnog rizika. </w:t>
      </w:r>
    </w:p>
    <w:p w14:paraId="0520A062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Rizik promjene tržišne kamatne stope izdavatelj ocjenjuje kao umjeren, uzimajući u obzir prirodu instrumenta i trajanje projekta. </w:t>
      </w:r>
    </w:p>
    <w:p w14:paraId="050BD410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4FB5876C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Rizik likvidnosti </w:t>
      </w:r>
    </w:p>
    <w:p w14:paraId="02192071" w14:textId="03B9B04B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>Tržište kapitala u Republici Hrvatskoj još uvijek pokazuje ograničen stupanj razvijenosti. Iako je planirano uvrštenje obveznica na Progress tržište kojim upravlja Zagrebačka burza, ne postoji jamstvo da će se uspostaviti aktivno i kontinuirano sekundarno trgovanje tim instrumentima tijekom čitavog razdoblja do njihova dospijeća</w:t>
      </w:r>
      <w:r w:rsidR="00E81208">
        <w:rPr>
          <w:rFonts w:ascii="Arial" w:hAnsi="Arial" w:cs="Arial"/>
          <w:lang w:val="hr-HR"/>
        </w:rPr>
        <w:t>.</w:t>
      </w:r>
    </w:p>
    <w:p w14:paraId="5563BD4C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18FE393D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Rizik inflacije </w:t>
      </w:r>
    </w:p>
    <w:p w14:paraId="6BE696C0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Rizik inflacije odnosi se na smanjenje kupovne moći valute u kojoj je obveznica denominirana, što dovodi do promjene realne vrijednosti ulaganja. U slučaju kada stopa inflacije premašuje nominalni prinos obveznice, stvarni (realni) prinos za ulagatelja postaje negativan. Time inflacija umanjuje stvarnu vrijednost budućih novčanih tokova koje obveznica generira, uključujući glavnicu i moguće kamatne isplate. </w:t>
      </w:r>
    </w:p>
    <w:p w14:paraId="40E60C81" w14:textId="77777777" w:rsidR="00E81208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0832406F" w14:textId="77777777" w:rsidR="002D253B" w:rsidRPr="00DC15B6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Rizik povezan s oporezivanjem prihoda ostvarenih ulaganjem u Obveznice </w:t>
      </w:r>
    </w:p>
    <w:p w14:paraId="0ADE9F65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 trenutku izrade ovog dokumenta, prihodi ostvareni po osnovi ulaganja u obveznice – uključujući kamate i moguće kapitalne dobitke – podliježu važećim poreznim propisima Republike Hrvatske, ovisno o statusu ulagatelja i vrsti obveznice. </w:t>
      </w:r>
    </w:p>
    <w:p w14:paraId="19959A98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Kamata ostvarena na obveznice, uključujući i kuponsku kamatu, u pravilu se smatra dohotkom od kapitala te podliježe porezu na dohodak po stopi od 12% uvećanoj za prirez ako je primjenjiv. Isplatitelj kamata (najčešće depozitar ili izdavatelj preko registra vrijednosnog papira) dužan je obračunati, obustaviti i uplatiti predmetni porez u trenutku isplate ili pripisa kamata. </w:t>
      </w:r>
    </w:p>
    <w:p w14:paraId="1B5875D7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 slučaju prodaje obveznice po cijeni višoj od nabavne, ostvareni kapitalni dobitak također može podlijegati oporezivanju, ako se prodaja izvrši unutar dvije godine od dana stjecanja obveznica, sukladno Zakonu o porezu na dohodak. Prodaje izvršene nakon isteka navedenog roka oslobođene su oporezivanja kapitalnih dobitaka. </w:t>
      </w:r>
    </w:p>
    <w:p w14:paraId="2BAD6A8F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lastRenderedPageBreak/>
        <w:t xml:space="preserve">Porez na dodanu vrijednost (PDV) se ne primjenjuje na isplate kamata iz financijskih instrumenata poput obveznica, sukladno osnovnim načelima oporezivanja financijskih usluga Zakonu o PDV-u. </w:t>
      </w:r>
    </w:p>
    <w:p w14:paraId="36DDC54B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Važno je napomenuti da se porezni propisi mogu promijeniti tijekom vremena, a izdavatelj nema nikakav utjecaj na buduće izmjene zakona, pravilnika ili porezne prakse. Svaka promjena u poreznom okviru može imati negativan utjecaj na ukupni prinos ulagatelja. Ulagateljima se preporučuje konzultacija s poreznim savjetnicima radi razumijevanja osobnih poreznih obveza prije ulaganja u obveznice. </w:t>
      </w:r>
    </w:p>
    <w:p w14:paraId="7C222D51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74E6A3D0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Rizici povezani s jamstvom   </w:t>
      </w:r>
    </w:p>
    <w:p w14:paraId="4F274D09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Jamstvo za obveznice predstavljaju zadužnice izdane od strane Izdavatelja. Ne postoji sigurnost da će Izdavatelj biti u mogućnosti ispuniti obveze proizašle iz jamstva u slučaju njegovog aktiviranja. Time se ulagatelji izlažu kreditnom riziku vezanom uz solventnost Izdavatelja, što može rezultirati djelomičnom ili potpunom neispunjenjem obveza prema vlasnicima obveznica. </w:t>
      </w:r>
    </w:p>
    <w:p w14:paraId="74B1F0C8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31C33075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Rizik financiranja ulaganje u obveznice pozajmljenim sredstvima </w:t>
      </w:r>
    </w:p>
    <w:p w14:paraId="2826B858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Ulaganje u obveznice putem zajma, kredita ili </w:t>
      </w:r>
      <w:proofErr w:type="spellStart"/>
      <w:r w:rsidRPr="0001322D">
        <w:rPr>
          <w:rFonts w:ascii="Arial" w:hAnsi="Arial" w:cs="Arial"/>
          <w:lang w:val="hr-HR"/>
        </w:rPr>
        <w:t>margin</w:t>
      </w:r>
      <w:proofErr w:type="spellEnd"/>
      <w:r w:rsidRPr="0001322D">
        <w:rPr>
          <w:rFonts w:ascii="Arial" w:hAnsi="Arial" w:cs="Arial"/>
          <w:lang w:val="hr-HR"/>
        </w:rPr>
        <w:t xml:space="preserve"> kredita može znatno povećati ukupni rizik za ulagatelja. U slučaju financiranja ulaganja pozajmljenim sredstvima, ulagatelj mora prilikom procjene potencijalnog prinosa ili gubitka od ulaganja uzeti u obzir troškove kamate te otplate glavnice zajma ili kredita. </w:t>
      </w:r>
    </w:p>
    <w:p w14:paraId="707AD884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Ulagatelji ne smiju pretpostavljati da će se obveze prema zajmodavcu podmiriti isključivo prihodima očekivanima od ulaganja u obveznice. Preporučuje se da svaki ulagatelj pažljivo procijeni vlastitu financijsku situaciju kako bi utvrdio mogućnost redovite otplate kamata i glavnice zajma, uz istovremeno podnošenje potencijalnih gubitaka na investiciji. </w:t>
      </w:r>
    </w:p>
    <w:p w14:paraId="33D123E9" w14:textId="77777777" w:rsidR="002D253B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U slučaju </w:t>
      </w:r>
      <w:proofErr w:type="spellStart"/>
      <w:r w:rsidRPr="0001322D">
        <w:rPr>
          <w:rFonts w:ascii="Arial" w:hAnsi="Arial" w:cs="Arial"/>
          <w:lang w:val="hr-HR"/>
        </w:rPr>
        <w:t>margin</w:t>
      </w:r>
      <w:proofErr w:type="spellEnd"/>
      <w:r w:rsidRPr="0001322D">
        <w:rPr>
          <w:rFonts w:ascii="Arial" w:hAnsi="Arial" w:cs="Arial"/>
          <w:lang w:val="hr-HR"/>
        </w:rPr>
        <w:t xml:space="preserve"> kredita, obveznice koje se kupuju služe kao zalog vjerovniku. Nagli pad tržišne cijene može dovesti do tzv. </w:t>
      </w:r>
      <w:proofErr w:type="spellStart"/>
      <w:r w:rsidRPr="0001322D">
        <w:rPr>
          <w:rFonts w:ascii="Arial" w:hAnsi="Arial" w:cs="Arial"/>
          <w:lang w:val="hr-HR"/>
        </w:rPr>
        <w:t>margin</w:t>
      </w:r>
      <w:proofErr w:type="spellEnd"/>
      <w:r w:rsidRPr="0001322D">
        <w:rPr>
          <w:rFonts w:ascii="Arial" w:hAnsi="Arial" w:cs="Arial"/>
          <w:lang w:val="hr-HR"/>
        </w:rPr>
        <w:t xml:space="preserve"> </w:t>
      </w:r>
      <w:proofErr w:type="spellStart"/>
      <w:r w:rsidRPr="0001322D">
        <w:rPr>
          <w:rFonts w:ascii="Arial" w:hAnsi="Arial" w:cs="Arial"/>
          <w:lang w:val="hr-HR"/>
        </w:rPr>
        <w:t>call</w:t>
      </w:r>
      <w:proofErr w:type="spellEnd"/>
      <w:r w:rsidRPr="0001322D">
        <w:rPr>
          <w:rFonts w:ascii="Arial" w:hAnsi="Arial" w:cs="Arial"/>
          <w:lang w:val="hr-HR"/>
        </w:rPr>
        <w:t>-a, pri čemu ulagatelj može biti prisiljen prodati dio ili sve obveznice kako bi podmirio obveze prema vjerovniku, što može rezultirati realizacijom gubitaka.</w:t>
      </w:r>
    </w:p>
    <w:p w14:paraId="687C71DF" w14:textId="77777777" w:rsidR="00E81208" w:rsidRPr="0001322D" w:rsidRDefault="00E81208" w:rsidP="002D253B">
      <w:pPr>
        <w:ind w:left="360"/>
        <w:jc w:val="both"/>
        <w:rPr>
          <w:rFonts w:ascii="Arial" w:hAnsi="Arial" w:cs="Arial"/>
          <w:lang w:val="hr-HR"/>
        </w:rPr>
      </w:pPr>
    </w:p>
    <w:p w14:paraId="795B611B" w14:textId="77777777" w:rsidR="002D253B" w:rsidRPr="0001322D" w:rsidRDefault="002D253B" w:rsidP="002D253B">
      <w:pPr>
        <w:ind w:left="360"/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Transakcijski troškovi / naknade prilikom sekundarnog trgovanja obveznica </w:t>
      </w:r>
    </w:p>
    <w:p w14:paraId="41A9433E" w14:textId="77777777" w:rsidR="002D253B" w:rsidRPr="0001322D" w:rsidRDefault="002D253B" w:rsidP="002D253B">
      <w:pPr>
        <w:ind w:left="360"/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lang w:val="hr-HR"/>
        </w:rPr>
        <w:t xml:space="preserve">Prilikom sekundarnog trgovanja obveznicama, ulagatelji se suočavaju s različitim vrstama transakcijskih troškova koji mogu značajno utjecati na neto povrat ulaganja. Ovi troškovi mogu se pojaviti u različitim oblicima, a ključno je razumjeti sve komponente kako bi se donijela informirana investicijska odluka. </w:t>
      </w:r>
    </w:p>
    <w:p w14:paraId="158573DF" w14:textId="77777777" w:rsidR="002D253B" w:rsidRPr="0001322D" w:rsidRDefault="002D253B" w:rsidP="002D253B">
      <w:pPr>
        <w:pStyle w:val="Odlomakpopisa"/>
        <w:numPr>
          <w:ilvl w:val="0"/>
          <w:numId w:val="4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lastRenderedPageBreak/>
        <w:t>Direktni transakcijski troškovi</w:t>
      </w:r>
      <w:r w:rsidRPr="0001322D">
        <w:rPr>
          <w:rFonts w:ascii="Arial" w:hAnsi="Arial" w:cs="Arial"/>
          <w:lang w:val="hr-HR"/>
        </w:rPr>
        <w:t xml:space="preserve"> odnose se na naknade povezane izravno s izvršenjem transakcije, koje mogu biti fiksne ili varijabilne ovisno o veličini transakcije. </w:t>
      </w:r>
    </w:p>
    <w:p w14:paraId="3BBAFD64" w14:textId="77777777" w:rsidR="002D253B" w:rsidRPr="0001322D" w:rsidRDefault="002D253B" w:rsidP="002D253B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Fiksne naknade</w:t>
      </w:r>
      <w:r w:rsidRPr="0001322D">
        <w:rPr>
          <w:rFonts w:ascii="Arial" w:hAnsi="Arial" w:cs="Arial"/>
          <w:lang w:val="hr-HR"/>
        </w:rPr>
        <w:t xml:space="preserve"> obično se primjenjuju na manje transakcije, gdje naknada ostaje nepromijenjena bez obzira na iznos trgovine. </w:t>
      </w:r>
    </w:p>
    <w:p w14:paraId="0F97B4D5" w14:textId="77777777" w:rsidR="002D253B" w:rsidRPr="0001322D" w:rsidRDefault="002D253B" w:rsidP="002D253B">
      <w:pPr>
        <w:pStyle w:val="Odlomakpopisa"/>
        <w:numPr>
          <w:ilvl w:val="0"/>
          <w:numId w:val="3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Varijabilne naknade</w:t>
      </w:r>
      <w:r w:rsidRPr="0001322D">
        <w:rPr>
          <w:rFonts w:ascii="Arial" w:hAnsi="Arial" w:cs="Arial"/>
          <w:lang w:val="hr-HR"/>
        </w:rPr>
        <w:t xml:space="preserve"> obično se izražavaju kao postotak vrijednosti transakcije, i to se najčešće primjenjuje na veće iznose trgovine, pa stoga mogu značajno varirati.  </w:t>
      </w:r>
    </w:p>
    <w:p w14:paraId="4A00F824" w14:textId="77777777" w:rsidR="002D253B" w:rsidRPr="0001322D" w:rsidRDefault="002D253B" w:rsidP="002D253B">
      <w:pPr>
        <w:pStyle w:val="Odlomakpopisa"/>
        <w:ind w:left="1080"/>
        <w:jc w:val="both"/>
        <w:rPr>
          <w:rFonts w:ascii="Arial" w:hAnsi="Arial" w:cs="Arial"/>
          <w:b/>
          <w:bCs/>
          <w:lang w:val="hr-HR"/>
        </w:rPr>
      </w:pPr>
    </w:p>
    <w:p w14:paraId="223C4FBA" w14:textId="77777777" w:rsidR="002D253B" w:rsidRPr="0001322D" w:rsidRDefault="002D253B" w:rsidP="002D253B">
      <w:pPr>
        <w:pStyle w:val="Odlomakpopisa"/>
        <w:numPr>
          <w:ilvl w:val="0"/>
          <w:numId w:val="4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Indirektni troškovi </w:t>
      </w:r>
      <w:r w:rsidRPr="0001322D">
        <w:rPr>
          <w:rFonts w:ascii="Arial" w:hAnsi="Arial" w:cs="Arial"/>
          <w:lang w:val="hr-HR"/>
        </w:rPr>
        <w:t xml:space="preserve">– pored izravnih troškova povezanih s transakcijom, ulagatelji moraju biti svjesni i drugih naknada koje se mogu pojaviti tijekom ili nakon same transakcije. To uključuje: </w:t>
      </w:r>
    </w:p>
    <w:p w14:paraId="7ECB5374" w14:textId="77777777" w:rsidR="002D253B" w:rsidRPr="0001322D" w:rsidRDefault="002D253B" w:rsidP="002D253B">
      <w:pPr>
        <w:pStyle w:val="Odlomakpopisa"/>
        <w:numPr>
          <w:ilvl w:val="2"/>
          <w:numId w:val="4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Troškovi skrbništva </w:t>
      </w:r>
      <w:r w:rsidRPr="0001322D">
        <w:rPr>
          <w:rFonts w:ascii="Arial" w:hAnsi="Arial" w:cs="Arial"/>
          <w:lang w:val="hr-HR"/>
        </w:rPr>
        <w:t>(</w:t>
      </w:r>
      <w:proofErr w:type="spellStart"/>
      <w:r w:rsidRPr="0001322D">
        <w:rPr>
          <w:rFonts w:ascii="Arial" w:hAnsi="Arial" w:cs="Arial"/>
          <w:lang w:val="hr-HR"/>
        </w:rPr>
        <w:t>custodial</w:t>
      </w:r>
      <w:proofErr w:type="spellEnd"/>
      <w:r w:rsidRPr="0001322D">
        <w:rPr>
          <w:rFonts w:ascii="Arial" w:hAnsi="Arial" w:cs="Arial"/>
          <w:lang w:val="hr-HR"/>
        </w:rPr>
        <w:t xml:space="preserve"> </w:t>
      </w:r>
      <w:proofErr w:type="spellStart"/>
      <w:r w:rsidRPr="0001322D">
        <w:rPr>
          <w:rFonts w:ascii="Arial" w:hAnsi="Arial" w:cs="Arial"/>
          <w:lang w:val="hr-HR"/>
        </w:rPr>
        <w:t>fees</w:t>
      </w:r>
      <w:proofErr w:type="spellEnd"/>
      <w:r w:rsidRPr="0001322D">
        <w:rPr>
          <w:rFonts w:ascii="Arial" w:hAnsi="Arial" w:cs="Arial"/>
          <w:lang w:val="hr-HR"/>
        </w:rPr>
        <w:t xml:space="preserve">): naknade za pohranu i administraciju obveznica koje mogu nastati ako se obveznice čuvaju kod posrednika, poput depozitara ili brokerskih kuća. </w:t>
      </w:r>
    </w:p>
    <w:p w14:paraId="594D94E1" w14:textId="77777777" w:rsidR="002D253B" w:rsidRPr="0001322D" w:rsidRDefault="002D253B" w:rsidP="002D253B">
      <w:pPr>
        <w:pStyle w:val="Odlomakpopisa"/>
        <w:numPr>
          <w:ilvl w:val="2"/>
          <w:numId w:val="4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>Troškovi vođenja transakcijskog računa</w:t>
      </w:r>
      <w:r w:rsidRPr="0001322D">
        <w:rPr>
          <w:rFonts w:ascii="Arial" w:hAnsi="Arial" w:cs="Arial"/>
          <w:lang w:val="hr-HR"/>
        </w:rPr>
        <w:t>: naknade povezane s vođenjem računa na kojem se obveznice drže, koji mogu uključivati fiksne ili periodične naknade za održavanje računa.</w:t>
      </w:r>
    </w:p>
    <w:p w14:paraId="105572CD" w14:textId="77777777" w:rsidR="002D253B" w:rsidRPr="0001322D" w:rsidRDefault="002D253B" w:rsidP="002D253B">
      <w:pPr>
        <w:pStyle w:val="Odlomakpopisa"/>
        <w:numPr>
          <w:ilvl w:val="0"/>
          <w:numId w:val="4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Povremeni troškovi </w:t>
      </w:r>
      <w:r w:rsidRPr="0001322D">
        <w:rPr>
          <w:rFonts w:ascii="Arial" w:hAnsi="Arial" w:cs="Arial"/>
          <w:lang w:val="hr-HR"/>
        </w:rPr>
        <w:t xml:space="preserve">koji se ne pojavljuju nužno u svakoj transakciji, ali mogu biti važni za dugoročne investitore. To uključuje naknade povezane s promjenama u strukturi portfelja, prilagodbama investicijske strategije ili troškovima izlaska iz pozicija. </w:t>
      </w:r>
    </w:p>
    <w:p w14:paraId="3921EE00" w14:textId="77777777" w:rsidR="002D253B" w:rsidRPr="00DC15B6" w:rsidRDefault="002D253B" w:rsidP="002D253B">
      <w:pPr>
        <w:pStyle w:val="Odlomakpopisa"/>
        <w:numPr>
          <w:ilvl w:val="0"/>
          <w:numId w:val="4"/>
        </w:numPr>
        <w:jc w:val="both"/>
        <w:rPr>
          <w:rFonts w:ascii="Arial" w:hAnsi="Arial" w:cs="Arial"/>
          <w:b/>
          <w:bCs/>
          <w:lang w:val="hr-HR"/>
        </w:rPr>
      </w:pPr>
      <w:r w:rsidRPr="0001322D">
        <w:rPr>
          <w:rFonts w:ascii="Arial" w:hAnsi="Arial" w:cs="Arial"/>
          <w:b/>
          <w:bCs/>
          <w:lang w:val="hr-HR"/>
        </w:rPr>
        <w:t xml:space="preserve">Utjecaj na neto povrat </w:t>
      </w:r>
      <w:r w:rsidRPr="0001322D">
        <w:rPr>
          <w:rFonts w:ascii="Arial" w:hAnsi="Arial" w:cs="Arial"/>
          <w:lang w:val="hr-HR"/>
        </w:rPr>
        <w:t xml:space="preserve">– troškovi transakcija mogu značajno smanjiti potencijalne povrate od trgovanja obveznicama, osobito u slučajevima kada su transakcije učestale ili obuhvaćaju manje iznose. Uzimajući u obzir te troškove, važno je pažljivo procijeniti ukupnu troškovnu strukturu i koliko će ona utjecati na dugoročne investicijske ciljeve.   </w:t>
      </w:r>
    </w:p>
    <w:p w14:paraId="65B4536F" w14:textId="77777777" w:rsidR="002D253B" w:rsidRDefault="002D253B" w:rsidP="002D253B">
      <w:pPr>
        <w:jc w:val="both"/>
        <w:rPr>
          <w:rFonts w:ascii="Arial" w:hAnsi="Arial" w:cs="Arial"/>
          <w:b/>
          <w:bCs/>
          <w:lang w:val="hr-HR"/>
        </w:rPr>
      </w:pPr>
    </w:p>
    <w:p w14:paraId="5ECFF2A8" w14:textId="77777777" w:rsidR="004F050A" w:rsidRPr="002D253B" w:rsidRDefault="004F050A">
      <w:pPr>
        <w:rPr>
          <w:lang w:val="hr-HR"/>
        </w:rPr>
      </w:pPr>
    </w:p>
    <w:sectPr w:rsidR="004F050A" w:rsidRPr="002D25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F0199"/>
    <w:multiLevelType w:val="hybridMultilevel"/>
    <w:tmpl w:val="E6D634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D85265"/>
    <w:multiLevelType w:val="hybridMultilevel"/>
    <w:tmpl w:val="9ED87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A5552"/>
    <w:multiLevelType w:val="hybridMultilevel"/>
    <w:tmpl w:val="FEFA64B8"/>
    <w:lvl w:ilvl="0" w:tplc="916424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A2E48"/>
    <w:multiLevelType w:val="hybridMultilevel"/>
    <w:tmpl w:val="65D07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4A53D53"/>
    <w:multiLevelType w:val="hybridMultilevel"/>
    <w:tmpl w:val="FC98E0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49036958">
    <w:abstractNumId w:val="0"/>
  </w:num>
  <w:num w:numId="2" w16cid:durableId="112527559">
    <w:abstractNumId w:val="3"/>
  </w:num>
  <w:num w:numId="3" w16cid:durableId="244145928">
    <w:abstractNumId w:val="4"/>
  </w:num>
  <w:num w:numId="4" w16cid:durableId="699479528">
    <w:abstractNumId w:val="2"/>
  </w:num>
  <w:num w:numId="5" w16cid:durableId="1815023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0A"/>
    <w:rsid w:val="002D253B"/>
    <w:rsid w:val="004F050A"/>
    <w:rsid w:val="00D35E34"/>
    <w:rsid w:val="00E8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D700"/>
  <w15:chartTrackingRefBased/>
  <w15:docId w15:val="{3D71ADC4-BA69-4FCA-9BB6-AEEBC1848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53B"/>
    <w:rPr>
      <w:lang w:val="en-US"/>
    </w:rPr>
  </w:style>
  <w:style w:type="paragraph" w:styleId="Naslov1">
    <w:name w:val="heading 1"/>
    <w:basedOn w:val="Normal"/>
    <w:next w:val="Normal"/>
    <w:link w:val="Naslov1Char"/>
    <w:uiPriority w:val="9"/>
    <w:qFormat/>
    <w:rsid w:val="004F0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0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05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F0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05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0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0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0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0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F05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F05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F05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F050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F050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F050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F050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F050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F050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F0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F0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0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F0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F0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F050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F050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F050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05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F050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F05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1568</Words>
  <Characters>8940</Characters>
  <Application>Microsoft Office Word</Application>
  <DocSecurity>0</DocSecurity>
  <Lines>74</Lines>
  <Paragraphs>20</Paragraphs>
  <ScaleCrop>false</ScaleCrop>
  <Company/>
  <LinksUpToDate>false</LinksUpToDate>
  <CharactersWithSpaces>10488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ljiljana.sovic@gmail.com</dc:creator>
  <cp:keywords/>
  <dc:description/>
  <cp:lastModifiedBy>ljiljana.sovic@gmail.com</cp:lastModifiedBy>
  <cp:revision>3</cp:revision>
  <dcterms:created xsi:type="dcterms:W3CDTF">2026-04-16T06:13:00Z</dcterms:created>
  <dcterms:modified xsi:type="dcterms:W3CDTF">2026-04-16T06:19:00Z</dcterms:modified>
</cp:coreProperties>
</file>